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LII/33/2018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marca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podziału Miasta i Gminy Cieszanów na stałe obwody głosowania, ustalenia ich numerów i granic oraz siedzib obwodowych komisji wyborczych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stycznia 2018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zmianie niektórych ustaw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celu zwiększenia udziału obywateli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procesie wybierania, funkcjonowania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kontrolowania niektórych organów publicznych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130) 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§ 1, § 2, § 3, § 11, § 12, § 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stycznia 2011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Kodeks wyborczy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ze zm.)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art.18 ust.2 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 Dz.  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ze zm.)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Dokonuje się podziału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Gminy Cieszanów na stałe obwody głosowania, ustala się ich numery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granice oraz siedziby obwodowych komisji wyborczych, jak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 Uchwała XXX/57/2012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podziału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na stałe obwody głosowania, ustalenia ich numerów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granic oraz siedzib obwodowych komisji wyborczych.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Uchwałę podaje się do publicznej wiadomości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uchwały wyborcom,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liczbie co najmniej 15, przysługuje prawo wniesienia skargi do Komisarza Wyborczego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Przemyślu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podania jej do publicznej wiadomości.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LII/33/2018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31"/>
        <w:gridCol w:w="5444"/>
        <w:gridCol w:w="32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Nr obwodu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głosowania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Granice obwodu głosowania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Siedziba Obwodowej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Komisji  Wyborczej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1.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Sołectwa: Chotylub, Dąbrówka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Dom Strażaka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 Chotylubiu,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2.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Cieszanów: ul. Armii Krajowej, ul. Bohaterów Września, ul. Generała Sikorskiego, ul. Kopernika, ul. Księdza Kłosa, ul. Łucji Charewicz, Obrońców Westerplatte, ul. Wolności, osiedle Armii Krajowej, ul. 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Grudnia, ul. Gajerskiego, ul. Kościuszki, ul. Lityńskiego, ul. Mickiewicza, ul. Ogrodowa,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Nowe Sioło ul. Pałacowa, Nowe Sioło ul. Mickiewicza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Centrum  Kultury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Sportu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 Cieszanowie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ul. Kościuszki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3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3.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Cieszanów: ul. Cerkiewna, ul. Krasińskiego, ul. Moniuszki, ul. Niemstowska, ul. Nowa, ul. Skorupki, ul. Warszawska, osiedle Kustronia, ul. Boczna Podwale, ul. Czereśnie, ul. Jana III Sobieskiego, ul. Leśna, ul. Podwale, ul. Rynek, ul. Sienkiewicza, ul. Witosa,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Nowy Lubliniec ul. Doświadczalna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Centrum Edukacji Ekologicznej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Cieszanowie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ul. Sobieskiego 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4.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Sołectwo: Dachnów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Wiejski Dom Kultury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Dachnowie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5.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Sołectwa: Kowalówka, Żuków, Gorajec, Podsołectwo: Doliny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Szkoła Podstawowa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 Kowalówce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6.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Sołectwa:  Niemstów, Folwarki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Szkoła Podstawowa                   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Niemstowie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7.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Sołectwo: Nowe Sioło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Szkoła Podstawowa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Nowym Siole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6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8.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Sołectwa: Nowy Lubliniec, Stary Lubliniec,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Wiejski Dom Kultury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Starym Lublińcu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7EBE2AF4-CA61-4189-BD45-314D5817382A.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7EBE2AF4-CA61-4189-BD45-314D5817382A.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LII/33/2018 z dnia 28 marca 2018 r.</dc:title>
  <dc:subject>w sprawie podziału Miasta i^Gminy Cieszanów na stałe obwody głosowania, ustalenia ich numerów i^granic oraz siedzib obwodowych komisji wyborczych</dc:subject>
  <dc:creator>Janusz</dc:creator>
  <cp:lastModifiedBy>Janusz</cp:lastModifiedBy>
  <cp:revision>1</cp:revision>
  <dcterms:created xsi:type="dcterms:W3CDTF">2018-04-09T09:50:08Z</dcterms:created>
  <dcterms:modified xsi:type="dcterms:W3CDTF">2018-04-09T09:50:08Z</dcterms:modified>
  <cp:category>Akt prawny</cp:category>
</cp:coreProperties>
</file>