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XLVII/147/2017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6i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2, 3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1,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gminach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1289)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Opłata za gospodarowanie odpadami komunalnymi dla nieruchomości, na których zamieszkują mieszkańcy ustalana jest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Ustala się stawkę opłaty za gospodarowanie odpadami komunalnymi, jeżeli odpady komunalne są zbierane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odbierane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sposób selektywny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wysokości 7,50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Ustala się wyższą stawkę opłaty za gospodarowanie odpadami komunalnymi, jeżeli odpady komunalne 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są zbierane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odbierane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sposób selektywny,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wysokości 15,00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zł miesięcznie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 przypadku nieruchomości na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zamieszkują mieszkańcy, a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powstają odpady komunalne opłata za gospodarowanie odpadami komunalnymi stanowi iloczyn liczby pojemników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odpadami komunalnymi powstałymi na danej nieruchomości oraz stawki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stawki opłaty za pojemniki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75,00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190,00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nieselektywny: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50,00zł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60,00zł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100,00zł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150,00zł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 – 380,00zł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charakterze mieszanym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nieruchomości na których zamieszkują mieszkańcy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części nieruchomości,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zamieszkują mieszkańcy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powstają odpady komunalne, miesięczna opłata za gospodarowanie odpadami komunalnymi stanowić będzie sumę opłat obliczonych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 zastosowaniu stawek,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XXIII/32/2016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2031).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 Rady Miejskiej w 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27CB079E-E8A5-449F-984F-6BB827DE56F4.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XLVII/147/2017 z dnia 30 listopada 2017 r.</dc:title>
  <dc:subject>w 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2018-02-28T07:23:30Z</dcterms:created>
  <dcterms:modified xsi:type="dcterms:W3CDTF">2018-02-28T07:23:30Z</dcterms:modified>
  <cp:category>Akt prawny</cp:category>
</cp:coreProperties>
</file>