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>U C H W A Ł A    Nr XXXIII/19/2017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>Rady Miejskiej w Cieszanowie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>z dnia 24 lutego 2017 roku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9001E">
        <w:rPr>
          <w:rFonts w:ascii="Times New Roman" w:hAnsi="Times New Roman" w:cs="Times New Roman"/>
          <w:b/>
          <w:bCs/>
          <w:sz w:val="24"/>
          <w:szCs w:val="24"/>
        </w:rPr>
        <w:t>wieloletniej prognozy finansowej Miasta i Gminy Cieszanów na lata 2017 - 2031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>Na podstawie art. 231 ustawy z dnia 27 sierpnia 2009 r. o finansach publicznych (Dz. U. z 2016 r. poz. 1870 ) Rada Miejska w Cieszanowie uchwala co następuje: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 xml:space="preserve">Wieloletnia prognoza finansowa na lata 2017-2031 wraz z prognozą kwoty długu otrzymuje brzmienie zgodnie z załącznikiem </w:t>
      </w:r>
      <w:r w:rsidRPr="0059001E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59001E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59001E" w:rsidRPr="0059001E" w:rsidRDefault="0059001E" w:rsidP="0059001E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 xml:space="preserve">Przedsięwzięcia, o których mowa w art. 226 ust. 4 ustawy o finansach publicznych  przedstawia załącznik </w:t>
      </w:r>
      <w:r w:rsidRPr="0059001E">
        <w:rPr>
          <w:rFonts w:ascii="Times New Roman" w:hAnsi="Times New Roman" w:cs="Times New Roman"/>
          <w:b/>
          <w:bCs/>
          <w:sz w:val="24"/>
          <w:szCs w:val="24"/>
        </w:rPr>
        <w:t xml:space="preserve">Nr 2 </w:t>
      </w:r>
      <w:r w:rsidRPr="0059001E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59001E" w:rsidRPr="0059001E" w:rsidRDefault="0059001E" w:rsidP="0059001E">
      <w:pPr>
        <w:numPr>
          <w:ilvl w:val="0"/>
          <w:numId w:val="1"/>
        </w:num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>Upoważnia się Burmistrza Miasta i Gminy Cieszanów do zaciągania zobowiązań związanych z realizacją przedsięwzięć, ogółem do kwoty</w:t>
      </w:r>
      <w:r w:rsidRPr="00590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1 825 153 </w:t>
      </w:r>
      <w:r w:rsidRPr="0059001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9001E">
        <w:rPr>
          <w:rFonts w:ascii="Times New Roman" w:hAnsi="Times New Roman" w:cs="Times New Roman"/>
          <w:sz w:val="24"/>
          <w:szCs w:val="24"/>
        </w:rPr>
        <w:t xml:space="preserve">ł, w tym: w 2018 roku 1 825 153 zł, określonych w załączniku </w:t>
      </w:r>
      <w:r w:rsidRPr="0059001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59001E">
        <w:rPr>
          <w:rFonts w:ascii="Times New Roman" w:hAnsi="Times New Roman" w:cs="Times New Roman"/>
          <w:sz w:val="24"/>
          <w:szCs w:val="24"/>
        </w:rPr>
        <w:t xml:space="preserve"> </w:t>
      </w:r>
      <w:r w:rsidRPr="005900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01E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:rsidR="0059001E" w:rsidRPr="0059001E" w:rsidRDefault="0059001E" w:rsidP="0059001E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 xml:space="preserve"> § 2</w:t>
      </w:r>
    </w:p>
    <w:p w:rsidR="0059001E" w:rsidRPr="0059001E" w:rsidRDefault="0059001E" w:rsidP="0059001E">
      <w:pPr>
        <w:tabs>
          <w:tab w:val="left" w:pos="360"/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 wykonaniem uchwały Komisji Budżetowej Rady Miejskiej w Cieszanowie.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01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1E" w:rsidRPr="0059001E" w:rsidRDefault="0059001E" w:rsidP="0059001E">
      <w:pPr>
        <w:tabs>
          <w:tab w:val="left" w:pos="28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1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9001E" w:rsidRPr="0059001E" w:rsidRDefault="0059001E" w:rsidP="0059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AE" w:rsidRDefault="007154AE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p w:rsidR="00F8561F" w:rsidRDefault="00F8561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10"/>
        <w:gridCol w:w="1140"/>
        <w:gridCol w:w="1360"/>
        <w:gridCol w:w="1360"/>
        <w:gridCol w:w="1360"/>
        <w:gridCol w:w="1300"/>
        <w:gridCol w:w="60"/>
        <w:gridCol w:w="1130"/>
        <w:gridCol w:w="230"/>
        <w:gridCol w:w="1130"/>
        <w:gridCol w:w="1140"/>
        <w:gridCol w:w="110"/>
        <w:gridCol w:w="1250"/>
        <w:gridCol w:w="1240"/>
        <w:gridCol w:w="570"/>
        <w:gridCol w:w="680"/>
        <w:gridCol w:w="460"/>
        <w:gridCol w:w="560"/>
        <w:gridCol w:w="23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162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Wieloletnia Prognoza Finansowa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Załacznik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Nr 1 do Budżetu Miasta i Gminy Cieszanów na 2017 rok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Dochody ogółem </w:t>
            </w:r>
          </w:p>
        </w:tc>
        <w:tc>
          <w:tcPr>
            <w:tcW w:w="12810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</w:t>
            </w:r>
          </w:p>
        </w:tc>
        <w:tc>
          <w:tcPr>
            <w:tcW w:w="771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majątkowe</w:t>
            </w:r>
          </w:p>
        </w:tc>
        <w:tc>
          <w:tcPr>
            <w:tcW w:w="250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fizycznych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dochody z tytułu udziału we wpływach z podatku dochodowego od osób prawnych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podatki i opłaty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subwencji ogólnej</w:t>
            </w:r>
          </w:p>
        </w:tc>
        <w:tc>
          <w:tcPr>
            <w:tcW w:w="12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i środków przeznaczonych na cele bieżące</w:t>
            </w:r>
          </w:p>
        </w:tc>
        <w:tc>
          <w:tcPr>
            <w:tcW w:w="12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ze sprzedaży majątku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 tytułu dotacji oraz środków przeznaczonych na inwestycje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podatku od nieruchomości</w:t>
            </w: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[1.1]+[1.2]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28 812 475,98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23 242 929,54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1 689 715,00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5 325 665,00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3 049 933,00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9 855 685,00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4 800 969,00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5 569 546,44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516 718,06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25 853 149,92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22 541 634,48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1 753 118,00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13 723,79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5 175 071,19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2 739 234,42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9 762 892,00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4 571 194,38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3 311 515,44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362 837,56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2 941 860,78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34 588 550,53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26 383 521,94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2 116 345,00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5 590 975,00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2 963 311,00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9 887 679,00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8 442 548,94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8 205 028,59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705 028,59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28 240 931,67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27 008 770,67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2 152 275,00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13 900,20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5 149 985,07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3 091 240,37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9 887 679,00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1 232 161,00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196 966,41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1 035 194,59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38 185 432,35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27 159 557,63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1 947 120,00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5 505 520,13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3 212 400,00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10 804 818,00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8 044 508,50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11 025 874,72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4 320 925,00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6 699 944,49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33 220 000,00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26 320 000,00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5 350 000,00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3 080 000,00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30 937 100,00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25 937 100,00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5 317 100,00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4 550 000,00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31 332 500,00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26 882 500,00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5 400 500,00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4 450 000,00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31 025 200,00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26 425 200,00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5 400 500,00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4 450 000,00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31 578 000,00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26 738 000,00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4 840 000,00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31 485 000,00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27 785 000,00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5 450 000,00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3 455 000,00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28 000 000,00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4 300 000,00</w:t>
            </w: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25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62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3430"/>
        <w:gridCol w:w="1140"/>
        <w:gridCol w:w="560"/>
        <w:gridCol w:w="23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16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1) Wzór może być stosowany także w układzie pionowym, w którym poszczególne pozycje są przedstawione w kolumnach, a lata w wierszach.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2) Zgodnie z art. 227 ustawy z dnia 27 sierpnia 2009 r. o finansach publicznych (Dz. U. z 2013 r. poz. 885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póź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zm.) zwanej dalej „ustawą”, wieloletnia prognoza finansowa obejmuje okres roku budżetowego oraz co najmniej trzech kolejnych lat. W sytuacji dłuższego  okresu prognozowania finansowego wzór stosuje się także dla lat  wykraczających poza minimalny (4 letni) okres prognozy, wynikający z art. 227 ustawy.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3) W pozycji wykazuje się kwoty wszystkich podatków i opłat pobieranych przez jednostki samorządu terytorialnego, a nie tylko podatków i opłat lokalnych.    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0"/>
        </w:trPr>
        <w:tc>
          <w:tcPr>
            <w:tcW w:w="16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"/>
        <w:gridCol w:w="125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250"/>
        <w:gridCol w:w="110"/>
        <w:gridCol w:w="10"/>
        <w:gridCol w:w="1020"/>
        <w:gridCol w:w="340"/>
        <w:gridCol w:w="110"/>
        <w:gridCol w:w="11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ogółem</w:t>
            </w:r>
          </w:p>
        </w:tc>
        <w:tc>
          <w:tcPr>
            <w:tcW w:w="12250" w:type="dxa"/>
            <w:gridSpan w:val="1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</w:t>
            </w:r>
          </w:p>
        </w:tc>
        <w:tc>
          <w:tcPr>
            <w:tcW w:w="952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tytułu poręczeń i gwarancji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na obsługę długu</w:t>
            </w:r>
          </w:p>
        </w:tc>
        <w:tc>
          <w:tcPr>
            <w:tcW w:w="40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7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odsetki i dyskonto określone w art. 243 ust. 1 ustawy </w:t>
            </w:r>
          </w:p>
        </w:tc>
        <w:tc>
          <w:tcPr>
            <w:tcW w:w="273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odsetki i dyskonto podlegające wyłączeniu z limitu spłaty zobowiązań, o którym mowa w art. 243 ustawy, z tytułu zobowiązań  zaciągniętych na wkład krajowy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</w:tc>
        <w:tc>
          <w:tcPr>
            <w:tcW w:w="137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x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[2.1] + [2.2]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28 835 119,51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21 203 281,59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7 631 837,92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26 522 603,30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21 250 412,28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440 940,23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440 940,23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5 272 191,02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33 438 550,53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25 675 523,65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7 763 026,88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27 118 296,12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24 850 693,71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391 493,49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391 493,49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2 267 602,41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37 550 284,35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25 941 381,48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11 608 902,87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31 433 700,00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25 268 700,00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6 165 000,00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28 988 700,00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25 498 700,00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3 490 000,00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29 684 100,00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25 641 600,00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4 042 500,00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29 576 800,00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24 963 900,00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4 612 900,00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30 279 600,00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25 189 600,00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5 090 000,00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29 986 600,00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25 431 600,00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4 555 000,00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26 751 600,00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32 262 248,00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26 762 248,00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9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4) W pozycji wykazuje się kwoty dla lat budżetowych 2013-2018.  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5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0"/>
        <w:gridCol w:w="910"/>
        <w:gridCol w:w="1130"/>
        <w:gridCol w:w="1140"/>
        <w:gridCol w:w="1130"/>
        <w:gridCol w:w="1130"/>
        <w:gridCol w:w="1140"/>
        <w:gridCol w:w="1130"/>
        <w:gridCol w:w="1140"/>
        <w:gridCol w:w="1130"/>
        <w:gridCol w:w="1130"/>
        <w:gridCol w:w="1140"/>
        <w:gridCol w:w="1130"/>
        <w:gridCol w:w="1140"/>
        <w:gridCol w:w="560"/>
        <w:gridCol w:w="29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Wynik budżetu</w:t>
            </w:r>
          </w:p>
        </w:tc>
        <w:tc>
          <w:tcPr>
            <w:tcW w:w="11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Przychody budżetu</w:t>
            </w:r>
          </w:p>
        </w:tc>
        <w:tc>
          <w:tcPr>
            <w:tcW w:w="907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Nadwyżka budżetowa z lat ubiegłych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Wolne środki, o których mowa w art. 217 ust.2 pkt 6 ustawy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Kredyty, pożyczki, emisja papierów wartościowych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Inne przychody niezwiązane z zaciągnięciem długu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13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na pokrycie deficytu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4.4.1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[1] -[2]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[4.1] + [4.2] + [4.3] + [4.4]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-22 643,53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2 217 036,58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484 406,43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182 630,15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-669 453,38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2 140 000,00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1 150 000,00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1 122 635,55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27 364,45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27 364,45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635 148,00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654 852,00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654 852,00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1 786 300,00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1 498 400,00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37 752,00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5) W pozycji wykazuje się w szczególności  kwoty przychodów z tytułu prywatyzacji majątku oraz spłaty pożyczek udzielonych ze środków jednostki. 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0"/>
        </w:trPr>
        <w:tc>
          <w:tcPr>
            <w:tcW w:w="16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70"/>
        <w:gridCol w:w="1360"/>
        <w:gridCol w:w="1360"/>
        <w:gridCol w:w="1360"/>
        <w:gridCol w:w="1370"/>
        <w:gridCol w:w="1360"/>
        <w:gridCol w:w="1360"/>
        <w:gridCol w:w="1360"/>
        <w:gridCol w:w="2490"/>
        <w:gridCol w:w="1140"/>
        <w:gridCol w:w="560"/>
        <w:gridCol w:w="17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Rozchody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817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Spłaty rat kapitałowych kredytów i pożyczek oraz wykup papierów wartościowych</w:t>
            </w:r>
          </w:p>
        </w:tc>
        <w:tc>
          <w:tcPr>
            <w:tcW w:w="545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Inne rozchody niezwiązane ze spłatą długu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 tym łączna kwota przypadających na dany rok kwot ustawowych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 limitu spłaty zobowiązań, o którym mowa w art. 243 ustawy</w:t>
            </w:r>
          </w:p>
        </w:tc>
        <w:tc>
          <w:tcPr>
            <w:tcW w:w="40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określonych w art. 243 ust.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określonych w art. 243 ust. 3a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kwota przypadających na dany rok kwot ustawowych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innych niż określone w art. 243 ustawy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5.1.1.3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[5.1] + [5.2]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[5.1.1.1] + [5.1.1.2] + [5.1.1.3]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1 786 300,00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1 786 300,00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37 752,00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37 752,00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6) W pozycji wykazuje się w szczególności wyłączenia wynikające z art. 36 ustawy z dnia 7 grudnia 2012 r. o zmianie niektórych ustaw w związku z realizacją ustawy budżetowej (Dz.U. poz. 1456 oraz z 2013 r. poz. 1199) oraz kwoty wykupu obligacji przychodowych. 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70"/>
        <w:gridCol w:w="1140"/>
        <w:gridCol w:w="1470"/>
        <w:gridCol w:w="10"/>
        <w:gridCol w:w="1350"/>
        <w:gridCol w:w="10"/>
        <w:gridCol w:w="1410"/>
        <w:gridCol w:w="6630"/>
        <w:gridCol w:w="1140"/>
        <w:gridCol w:w="560"/>
        <w:gridCol w:w="17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długu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78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Relacja zrównoważenia wydatków bieżących, o której mowa w art. 242 ustawy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Różnica między dochodami bieżącymi, skorygowanymi o środki     a wydatkami bieżącymi, pomniejszonymi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o wydatki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1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[1.1] - [2.1]</w:t>
            </w:r>
          </w:p>
        </w:tc>
        <w:tc>
          <w:tcPr>
            <w:tcW w:w="1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[1.1] + [4.1] + [4.2] - ([2.1] - [2.1.2])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10 450 000,00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2 039 647,95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2 524 054,38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11 790 000,00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1 291 222,20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1 291 222,20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10 640 000,00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707 998,29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707 998,29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10 640 000,00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2 158 076,96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2 158 076,96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10 004 852,00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1 218 176,15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1 218 176,15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8 218 552,00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1 051 300,00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1 051 300,00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6 270 152,00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4 621 752,00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1 240 900,00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1 240 900,00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3 173 352,00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1 461 300,00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1 461 300,00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1 874 952,00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376 552,00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2 353 400,00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2 353 400,00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328 152,00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279 752,00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231 352,00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182 952,00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134 552,00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86 152,00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37 752,00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1 248 400,00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1 237 752,00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1 237 752,00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7) Skorygowanie o środki określone w przepisach dotyczy w szczególności powiększenia o nadwyżkę budżetową z lat ubiegłych, zgodnie z art. 242 ustawy.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8) Pomniejszenie wydatków bieżących, zgodnie z art. 36 ust. 1 pkt 1 ustawy z dnia 7 grudnia 2012 r. o zmianie niektórych ustaw w związku z realizacją ustawy budżetowej, dotyczy lat 2013-2015.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250"/>
        <w:gridCol w:w="1130"/>
        <w:gridCol w:w="1360"/>
        <w:gridCol w:w="1140"/>
        <w:gridCol w:w="1130"/>
        <w:gridCol w:w="1140"/>
        <w:gridCol w:w="1130"/>
        <w:gridCol w:w="1130"/>
        <w:gridCol w:w="1140"/>
        <w:gridCol w:w="1130"/>
        <w:gridCol w:w="1700"/>
        <w:gridCol w:w="1140"/>
        <w:gridCol w:w="560"/>
        <w:gridCol w:w="29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043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Wskaźnik spłaty zobowiązań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  i bez uwzględniania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przypadających na dany rok.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terytorialnego,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przypadających na dany rok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planowanej łącznej kwoty spłaty zobowiązań, o której mowa w art. 243 ust. 1 ustawy do dochodów, po uwzględnieniu zobowiązań związku współtworzonego przez jednostkę samorządu terytorialnego oraz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przypadających na dany rok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Dopuszczalny wskaźnik spłaty zobowiązań określony w art. 243 ustawy, po uwzględnieniu ustawowych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Dopuszczalny wskaźnik spłaty zobowiązań określony w art. 243 ustawy,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, obliczony w oparciu o wykonanie roku poprzedzającego pierwszy rok prognozy (wskaźnik ustalony w oparciu o średnią arytmetyczną z 3 poprzednich lat)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, obliczonego w oparciu o plan 3 kwartałów roku poprzedzającego rok budżetowy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, obliczonego w oparciu o wykonanie roku poprzedzającego rok budżetowy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9.6.1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9.7.1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([2.1.1.] + [2.1.3.1] + [5.1] ) / [1]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 - [2.1.1.1])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 + ([2.1.3.1] - [2.1.3.1.1] - [2.1.3.1.2])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 xml:space="preserve">+ ([5.1] - [5.1.1]) ) 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  <w:t>/ ([1] - [15.1.1])</w:t>
            </w:r>
            <w:r>
              <w:rPr>
                <w:rFonts w:ascii="Arial" w:hAnsi="Arial" w:cs="Arial"/>
                <w:color w:val="000000"/>
                <w:sz w:val="6"/>
                <w:szCs w:val="6"/>
              </w:rPr>
              <w:br/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6"/>
                <w:szCs w:val="6"/>
              </w:rPr>
              <w:t>(([2.1.1]-[2.1.1.1]) + ([2.1.3.1]-[2.1.3.1.1]-[2.1.3.1.2])+([5.1]-[5.1.1])+[9.5]) /([1]-[15.1.1])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(([1.1] - [15.1.1])+[1.2.1] - ([2.1]-[2.1.2]-[15.2]))/ ([1]-[15.1.1])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średnia z trzech poprzednich lat [9.5]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[9.6] – [9.4]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[9.6.1] – [9.4]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5,03%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8,87%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6,73%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6,40%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4,48%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23,73%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8,34%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14,51%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6,28%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7,08%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14,88%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9,75%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7,07%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2,87%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15,11%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9,98%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5,85%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5,85%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5,85%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5,40%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8,15%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8,15%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5,06%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5,06%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5,06%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5,12%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5,12%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6,55%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4,90%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4,90%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8,25%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5,71%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5,71%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6,66%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6,66%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6,53%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5,94%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5,94%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0,13%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4,76%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4,79%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9) W pozycji wykazuje się w szczególności wyłączenia wynikające z art.  36 ustawy z dnia 7 grudnia 2012 r. o zmianie niektórych ustaw w związku z realizacją ustawy budżetowej oraz wyłączenia związane z emisją obligacji przychodowych. Identyczne wyłączenia dotyczą pozycji 9.6.1.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020"/>
        <w:gridCol w:w="340"/>
        <w:gridCol w:w="800"/>
        <w:gridCol w:w="560"/>
        <w:gridCol w:w="29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Przeznaczenie prognozowanej nadwyżki budżetowej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na:</w:t>
            </w:r>
          </w:p>
        </w:tc>
        <w:tc>
          <w:tcPr>
            <w:tcW w:w="10880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Informacje uzupełniające o wybranych rodzajach wydatków budżetowych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Spłaty kredytów, pożyczek i wykup papierów wartościowych 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bieżące na wynagrodzenia i składki od nich naliczane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związane z funkcjonowaniem organów jednostki samorządu terytorialnego 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inwestycyjne kontynuowane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Nowe wydatki inwestycyjne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majątkowe w formie dotacji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bieżące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majątkowe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[11.3.1] + [11.3.2]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7 752 455,95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4 211 607,92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2 030 293,85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2 030 293,85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4 018 654,00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635 148,00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635 148,00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7 900 383,00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5 252 097,00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6 447 020,64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6 447 020,64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1 786 300,00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1 786 300,00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3 025 000,00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1 825 153,00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1 825 153,00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3 054 000,00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7 425 000,00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3 067 000,00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7 463 000,00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3 085 000,00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1 498 400,00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31 500 000,00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3 150 000,00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48 400,00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37 752,00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37 752,00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10) Przeznaczenie nadwyżki budżetowej, inne niż spłaty kredytów, pożyczek i wykup papierów wartościowych, wymaga określenia w objaśnieniach do wieloletniej prognozy finansowej.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11) W pozycji wykazuje się kwoty wydatków w ramach zadań własnych klasyfikowanych w dziale 750- Administracja publiczna w rozdziałach właściwych dla organów i urzędów jednostki samorządu terytorialnego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(rozdziały od 75017 do 75023).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12) W pozycji wykazuje się wartość inwestycji rozpoczętych co najmniej w poprzednim roku budżetowym, którego dotyczy kolumna.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13) W pozycji wykazuje się wartość nowych inwestycji, które planuje się rozpocząć w roku, którego dotyczy kolumna.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020"/>
        <w:gridCol w:w="460"/>
        <w:gridCol w:w="680"/>
        <w:gridCol w:w="560"/>
        <w:gridCol w:w="29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360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finansowane środkami określonymi w art. 5 ust. 1 pkt 2 ustawy </w:t>
            </w:r>
          </w:p>
        </w:tc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środki określone w art. 5 ust. 1 pkt 2 ustawy wynikające wyłącznie z  zawartych umów na realizację programu, projektu lub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12.3.1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12.3.2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14) W pozycji 12.1.1.1,  12.2.1.1, 12.3.2, 12.4.2., 12.5.1,  12.6.1, 12.7.1 oraz 12.8.1. wykazuje się wyłącznie kwoty wynikające z umów na realizację programu, projektu lub zadania zawartych na dzień uchwalenia prognozy, a nieplanowanych do zawarcia w okresie prognozy.  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162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"/>
        <w:gridCol w:w="1480"/>
        <w:gridCol w:w="1360"/>
        <w:gridCol w:w="1360"/>
        <w:gridCol w:w="1470"/>
        <w:gridCol w:w="1480"/>
        <w:gridCol w:w="1470"/>
        <w:gridCol w:w="1470"/>
        <w:gridCol w:w="1480"/>
        <w:gridCol w:w="1470"/>
        <w:gridCol w:w="340"/>
        <w:gridCol w:w="1140"/>
        <w:gridCol w:w="56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3040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 związku z już zawartą umową na realizację programu, projektu lub zadania 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12.4.2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12.5.1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12.6.1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2 030 293,85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6 447 020,64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1 825 153,00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15) Przez program, projekt lub zadanie finansowane w co najmniej 60% środkami, o których mowa w art. 5 ust. 1 pkt 2 ustawy, należy rozumieć także taki program, projekt lub zadanie przynoszące  dochód, dla których poziom finansowania ze środków, o których mowa w art. 5 ust. 1 pkt 2 ustawy, ustala się po odliczeniu zdyskontowanego dochodu obliczanego zgodnie z przepisami Unii Europejskiej dotyczącymi takiego programu, projektu lub zadania.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80"/>
        <w:gridCol w:w="1470"/>
        <w:gridCol w:w="1470"/>
        <w:gridCol w:w="1360"/>
        <w:gridCol w:w="1370"/>
        <w:gridCol w:w="1360"/>
        <w:gridCol w:w="1360"/>
        <w:gridCol w:w="1360"/>
        <w:gridCol w:w="1360"/>
        <w:gridCol w:w="790"/>
        <w:gridCol w:w="570"/>
        <w:gridCol w:w="570"/>
        <w:gridCol w:w="560"/>
      </w:tblGrid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29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3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Kwoty dotyczące przejęcia i spłaty zobowiązań po samodzielnych publicznych zakładach opieki zdrowotnej oraz pokrycia ujemnego wyniku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13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Dochody budżetowe z tytułu dotacji celowej z budżetu państwa, o której mowa w art. 196 ustawy z  dnia 15 kwietnia 2011 r.  o działalności leczniczej (Dz. U. z 2013 r. poz. 217,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zm.)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bieżące na pokrycie ujemnego wyniku finansowego samodzielnego publicznego zakładu opieki zdrowotnej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związku z już zawartą umową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12.8.1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0"/>
        </w:trPr>
        <w:tc>
          <w:tcPr>
            <w:tcW w:w="15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42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</w:tbl>
    <w:p w:rsidR="00F8561F" w:rsidRDefault="00F8561F" w:rsidP="00F856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F8561F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0"/>
        <w:gridCol w:w="50"/>
        <w:gridCol w:w="740"/>
        <w:gridCol w:w="740"/>
        <w:gridCol w:w="1360"/>
        <w:gridCol w:w="1190"/>
        <w:gridCol w:w="170"/>
        <w:gridCol w:w="1360"/>
        <w:gridCol w:w="280"/>
        <w:gridCol w:w="570"/>
        <w:gridCol w:w="510"/>
        <w:gridCol w:w="60"/>
        <w:gridCol w:w="340"/>
        <w:gridCol w:w="960"/>
        <w:gridCol w:w="170"/>
        <w:gridCol w:w="60"/>
        <w:gridCol w:w="280"/>
        <w:gridCol w:w="110"/>
        <w:gridCol w:w="740"/>
        <w:gridCol w:w="60"/>
        <w:gridCol w:w="110"/>
        <w:gridCol w:w="230"/>
        <w:gridCol w:w="110"/>
        <w:gridCol w:w="60"/>
        <w:gridCol w:w="790"/>
        <w:gridCol w:w="60"/>
        <w:gridCol w:w="110"/>
        <w:gridCol w:w="340"/>
        <w:gridCol w:w="910"/>
        <w:gridCol w:w="110"/>
        <w:gridCol w:w="340"/>
        <w:gridCol w:w="510"/>
        <w:gridCol w:w="400"/>
        <w:gridCol w:w="110"/>
        <w:gridCol w:w="510"/>
        <w:gridCol w:w="120"/>
        <w:gridCol w:w="50"/>
        <w:gridCol w:w="510"/>
        <w:gridCol w:w="170"/>
        <w:gridCol w:w="60"/>
      </w:tblGrid>
      <w:tr w:rsidR="00F8561F" w:rsidTr="00C6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61"/>
        </w:trPr>
        <w:tc>
          <w:tcPr>
            <w:tcW w:w="1616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520" w:type="dxa"/>
            <w:gridSpan w:val="2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Dane uzupełniające o długu i jego spłacie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Kwota długu, którego planowana spłata dokona się z wydatków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budżetu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Wydatki zmniejszające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dług</w:t>
            </w:r>
          </w:p>
        </w:tc>
        <w:tc>
          <w:tcPr>
            <w:tcW w:w="408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Wynik operacji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niekasowych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wpływających na kwotę długu ( m.in. umorzenia, różnice kursowe)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C6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1078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spłata zobowiązań wymagalnych z lat poprzednich, innych niż w poz. 14.3.3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wypłaty z tytułu wymagalnych poręczeń i gwarancji</w:t>
            </w: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14.3.1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14.3.2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14.3.3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C63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189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Formuła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Plan 3 kw.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Wykonanie 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120"/>
        </w:trPr>
        <w:tc>
          <w:tcPr>
            <w:tcW w:w="1616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15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68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*  Informacja o spełnieniu wskaźnika spłaty zobowiązań określonego w art. 243 ustawy po uwzględnieniu zobowiązań związku współtworzonego przez jednostkę samorządu terytorialnego, oraz po uwzględnieniu ustawowych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wyłączeń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zostanie automatycznie wygenerowana przez aplikację wskazaną przez Ministra Finansów, o której mowa w § 4 ust. 1 rozporządzenia Ministra Finansów z dnia 10 stycznia 2013 r. w sprawie wieloletniej prognozy finansowej jednostki samorządu terytorialnego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poz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86, z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). Automatyczne wyliczenia danych na podstawie wartości historycznych i prognozowanych przez jednostkę samorządu terytorialnego dotyczą w szczególności także poz. 9.6.-9.6.1 i pozycji z sekcji nr 16.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** Należy wskazać jedną z następujących podstaw prawnych: art. 240a ust. 4 / art. 240a ust. 8 / art. 240b ustawy  określającą procedurę jaką objęta jest jednostka samorządu terytorialnego.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x - pozycje oznaczone symbolem „x” sporządza się na okres, na który zaciągnięto oraz planuje się zaciągnąć zobowiązania dłużne (prognoza kwoty długu). 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W przypadku, gdy kwoty wydatków wynikające z limitów wydatków na przedsięwzięcia wykraczają poza okres prognozy kwoty długu to pozycje oznaczone symbolem „x” sporządza się do ostatniego roku, na który ustalono limit wydatków na realizację przedsięwzięć wieloletnich. 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16) Pozycje sekcji 15 są wykazywane wyłącznie przez jednostki samorządu terytorialnego emitujące obligacje przychodowe.  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17) Pozycje sekcji 16 wykazują wyłącznie jednostki objęte procedurą wynikającą z art. 240a lub art. 240b ustawy</w:t>
            </w:r>
          </w:p>
        </w:tc>
      </w:tr>
      <w:tr w:rsidR="00F8561F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800"/>
        </w:trPr>
        <w:tc>
          <w:tcPr>
            <w:tcW w:w="1616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F8561F" w:rsidRDefault="00F8561F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hRule="exact" w:val="570"/>
        </w:trPr>
        <w:tc>
          <w:tcPr>
            <w:tcW w:w="142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Wykaz przedsięwzięć do WPF</w:t>
            </w:r>
          </w:p>
        </w:tc>
        <w:tc>
          <w:tcPr>
            <w:tcW w:w="65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Załącznik Nr 2 do Budżetu Miasta i Gminy Cieszanów na rok 2017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kwoty w zł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2017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2018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2019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2020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8 894 977,49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6 447 020,64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1 825 153,00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8 272 173,64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1.a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1.b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8 894 977,49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6 447 020,64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1 825 153,00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8 272 173,64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40" w:type="dxa"/>
            <w:gridSpan w:val="9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Dz.U.Nr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157, poz.1240,z późn.zm.), z tego: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2 949 412,00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2 051 259,00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818 153,00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2 869 412,00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9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2 949 412,00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2 051 259,00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818 153,00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2 869 412,00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Budowa budynku administracyjnego pod potrzeby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UMiG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Posterunku Policji ul. Kościuszki 1, Cieszanów - ograniczenie emisji dwutlenku węgla, zmniejszenie zużycia energii</w:t>
            </w:r>
          </w:p>
        </w:tc>
        <w:tc>
          <w:tcPr>
            <w:tcW w:w="181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UMiG</w:t>
            </w:r>
            <w:proofErr w:type="spellEnd"/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2 949 412,00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2 051 259,00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818 153,00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2 869 412,00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40" w:type="dxa"/>
            <w:gridSpan w:val="9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umowami partnerstwa publiczno-prywatnego, z tego: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9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40" w:type="dxa"/>
            <w:gridSpan w:val="9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pozostałe (inne niż wymienione w pkt 1.1 i 1.2),z tego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5 945 565,49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4 395 761,64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1 007 000,00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5 402 761,64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9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5 945 565,49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4 395 761,64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1 007 000,00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5 402 761,64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680D5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62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2017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2018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2019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Termomodernizacja budynków użyteczności publicznej - zmniejszenie kosztów ogrzewania budynków oraz ochrona środowiska naturalnego, poprzez zmniejszenie zużycia paliw.</w:t>
            </w:r>
          </w:p>
        </w:tc>
        <w:tc>
          <w:tcPr>
            <w:tcW w:w="181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UMiG</w:t>
            </w:r>
            <w:proofErr w:type="spellEnd"/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4 190 055,49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4 177 761,64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4 177 761,64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1.3.2.2</w:t>
            </w:r>
          </w:p>
        </w:tc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Zagospodarowanie osiedla Podwale  - zwiększenie możliwości budownictwa jednorodzinnego</w:t>
            </w:r>
          </w:p>
        </w:tc>
        <w:tc>
          <w:tcPr>
            <w:tcW w:w="181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UMiG</w:t>
            </w:r>
            <w:proofErr w:type="spellEnd"/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7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1 755 510,00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218 000,00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1 007 000,00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1 225 000,00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E06" w:rsidTr="0068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00" w:type="dxa"/>
            <w:gridSpan w:val="38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63E06" w:rsidRDefault="00C63E06" w:rsidP="00C63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8561F" w:rsidRDefault="00F8561F" w:rsidP="00C63E06">
      <w:pPr>
        <w:widowControl w:val="0"/>
        <w:autoSpaceDE w:val="0"/>
        <w:autoSpaceDN w:val="0"/>
        <w:adjustRightInd w:val="0"/>
        <w:spacing w:after="0" w:line="240" w:lineRule="auto"/>
      </w:pPr>
    </w:p>
    <w:sectPr w:rsidR="00F8561F" w:rsidSect="00C63E06">
      <w:headerReference w:type="default" r:id="rId5"/>
      <w:footerReference w:type="default" r:id="rId6"/>
      <w:pgSz w:w="16840" w:h="1191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D" w:rsidRDefault="00C63E06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D" w:rsidRDefault="00C63E06"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0C"/>
    <w:rsid w:val="0059001E"/>
    <w:rsid w:val="007154AE"/>
    <w:rsid w:val="00C0380C"/>
    <w:rsid w:val="00C63E06"/>
    <w:rsid w:val="00CE3D65"/>
    <w:rsid w:val="00F8561F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CB61-536C-42E5-9D69-99157BC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900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5202</Words>
  <Characters>31213</Characters>
  <Application>Microsoft Office Word</Application>
  <DocSecurity>0</DocSecurity>
  <Lines>260</Lines>
  <Paragraphs>72</Paragraphs>
  <ScaleCrop>false</ScaleCrop>
  <Company/>
  <LinksUpToDate>false</LinksUpToDate>
  <CharactersWithSpaces>36343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2017-03-29T08:10:00Z</dcterms:created>
  <dcterms:modified xsi:type="dcterms:W3CDTF">2017-03-29T08:34:00Z</dcterms:modified>
</cp:coreProperties>
</file>